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E6D2" w14:textId="51FC6790" w:rsidR="00A3058F" w:rsidRPr="008F5B5D" w:rsidRDefault="00E90D16" w:rsidP="00485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GB"/>
        </w:rPr>
      </w:pPr>
      <w:r w:rsidRPr="008F5B5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GB"/>
        </w:rPr>
        <w:t>Priority Access to Vacancies Policy and Procedure</w:t>
      </w:r>
    </w:p>
    <w:p w14:paraId="0AAFB84A" w14:textId="77777777" w:rsidR="008F5B5D" w:rsidRDefault="008F5B5D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22E200F5" w14:textId="24DA17C1" w:rsidR="008F5B5D" w:rsidRDefault="00E90D16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Purpose</w:t>
      </w:r>
    </w:p>
    <w:p w14:paraId="734C9BD4" w14:textId="77777777" w:rsidR="008F5B5D" w:rsidRDefault="008F5B5D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867BD46" w14:textId="6C14C168" w:rsidR="00A3058F" w:rsidRDefault="00E90D16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AF043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ouncil aims to ensure that employees who are at risk of redundancy or who are unable to fulfil their contract of employment due to a disability</w:t>
      </w:r>
      <w:r w:rsidR="007B3E3A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or ill health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are redeployed </w:t>
      </w:r>
      <w:r w:rsidR="00E21B60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or appointed 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into suitable vacancies wherever possible. This </w:t>
      </w:r>
      <w:r w:rsidR="00E21B60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also reflects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statutory obligations placed upon the </w:t>
      </w:r>
      <w:r w:rsidR="00AF043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ouncil as an employer</w:t>
      </w:r>
      <w:r w:rsid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00EDD155" w14:textId="77777777" w:rsidR="008F5B5D" w:rsidRPr="008F5B5D" w:rsidRDefault="008F5B5D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6ED51D7D" w14:textId="3E846D17" w:rsidR="00A3058F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proofErr w:type="gramStart"/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order to</w:t>
      </w:r>
      <w:proofErr w:type="gramEnd"/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achieve this, the </w:t>
      </w:r>
      <w:r w:rsidR="00AF043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ouncil</w:t>
      </w:r>
      <w:r w:rsidR="00786F71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provides eligible employees with priority access to vacancies</w:t>
      </w:r>
      <w:r w:rsidR="00C71C69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give them prior consideration </w:t>
      </w:r>
      <w:r w:rsidR="002227EC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at interview </w:t>
      </w:r>
      <w:r w:rsidR="00D7690C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</w:t>
      </w:r>
      <w:r w:rsidR="00C71C69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they meet the essential criteria of a role</w:t>
      </w:r>
      <w:r w:rsidR="00786F71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7959E292" w14:textId="77777777" w:rsidR="008F5B5D" w:rsidRP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C611094" w14:textId="0DF06D75" w:rsidR="002227EC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Priority access to council vacancies is also available to:</w:t>
      </w:r>
    </w:p>
    <w:p w14:paraId="5BA3CAA3" w14:textId="77777777" w:rsidR="000131D9" w:rsidRPr="008F5B5D" w:rsidRDefault="000131D9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1CC8EC3" w14:textId="15C5B213" w:rsidR="002227EC" w:rsidRPr="008F5B5D" w:rsidRDefault="00E90D16" w:rsidP="004859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mployees </w:t>
      </w:r>
      <w:r w:rsidR="007F4E4A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with 12 months' service </w:t>
      </w:r>
      <w:r w:rsidR="009327D0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 a </w:t>
      </w:r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fixed term contract</w:t>
      </w:r>
      <w:r w:rsidR="009327D0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F4E4A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</w:t>
      </w:r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due to </w:t>
      </w:r>
      <w:proofErr w:type="gramStart"/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end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  <w:proofErr w:type="gramEnd"/>
    </w:p>
    <w:p w14:paraId="5875D55E" w14:textId="15C1B0B6" w:rsidR="00D7690C" w:rsidRPr="008F5B5D" w:rsidRDefault="00E90D16" w:rsidP="004859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mployees seeking alternative employment</w:t>
      </w:r>
      <w:r w:rsidR="007B3E3A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B3E3A"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due to other </w:t>
      </w:r>
      <w:r w:rsidR="00531AA3"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>reasons</w:t>
      </w:r>
      <w:r w:rsidR="007B3E3A"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which may prevent the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>m f</w:t>
      </w:r>
      <w:r w:rsidR="007B3E3A"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>rom undertaking their substantive role</w:t>
      </w:r>
      <w:r w:rsidR="002227EC"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484501DA" w14:textId="55B82184" w:rsidR="002227EC" w:rsidRPr="008F5B5D" w:rsidRDefault="00E90D16" w:rsidP="004859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</w:t>
      </w:r>
      <w:r w:rsidR="00A3058F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raduates and apprentices whose training scheme has continued successfully beyond 21 months.</w:t>
      </w:r>
    </w:p>
    <w:p w14:paraId="6404BD2B" w14:textId="77777777" w:rsid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3AD5407" w14:textId="0855F0D4" w:rsidR="00A3058F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Recruiting managers must ensure that the </w:t>
      </w:r>
      <w:r w:rsidR="00AF043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ouncil's obligations in relation to those employees seeking alternative employment are carried out in full and that proper consideration is given to applications received from all emp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loyees covered by the provisions of this policy. </w:t>
      </w:r>
    </w:p>
    <w:p w14:paraId="03426C50" w14:textId="77777777" w:rsidR="00113CD4" w:rsidRPr="008F5B5D" w:rsidRDefault="00113CD4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0B7D6F71" w14:textId="3893F694" w:rsidR="00A3058F" w:rsidRPr="008F5B5D" w:rsidRDefault="00E90D16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Scope</w:t>
      </w:r>
    </w:p>
    <w:p w14:paraId="44076E06" w14:textId="77777777" w:rsid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6290A94" w14:textId="35A1C4B4" w:rsidR="00A3058F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policy applies to all employees of the </w:t>
      </w:r>
      <w:r w:rsidR="00AF043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ouncil excluding:</w:t>
      </w:r>
    </w:p>
    <w:p w14:paraId="1A04000A" w14:textId="77777777" w:rsidR="000131D9" w:rsidRPr="008F5B5D" w:rsidRDefault="000131D9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F87C960" w14:textId="53300639" w:rsidR="00A3058F" w:rsidRPr="008F5B5D" w:rsidRDefault="00E90D16" w:rsidP="00485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Teachers, whose pay is determined by reference to the School Teachers Pay and Conditions Document</w:t>
      </w:r>
    </w:p>
    <w:p w14:paraId="746BABB8" w14:textId="6B16FBAB" w:rsidR="00B7772C" w:rsidRPr="008F5B5D" w:rsidRDefault="00E90D16" w:rsidP="00485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Support staff employed by 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schools</w:t>
      </w:r>
    </w:p>
    <w:p w14:paraId="27453A26" w14:textId="33FA271E" w:rsidR="00A3058F" w:rsidRPr="008F5B5D" w:rsidRDefault="008F5B5D" w:rsidP="00485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-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teaching</w:t>
      </w:r>
      <w:r w:rsidR="00E90D16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employees in schools </w:t>
      </w:r>
    </w:p>
    <w:p w14:paraId="25D48837" w14:textId="77777777" w:rsidR="00A3058F" w:rsidRPr="008F5B5D" w:rsidRDefault="00E90D16" w:rsidP="00485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Chief Executive, Executive </w:t>
      </w:r>
      <w:proofErr w:type="gramStart"/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Directors</w:t>
      </w:r>
      <w:proofErr w:type="gramEnd"/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and Directors</w:t>
      </w:r>
    </w:p>
    <w:p w14:paraId="657A7999" w14:textId="786C167D" w:rsidR="00A3058F" w:rsidRPr="008F5B5D" w:rsidRDefault="00E90D16" w:rsidP="004859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Employees with less than 12 months' continuous service with the </w:t>
      </w:r>
      <w:r w:rsidR="00AF043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ouncil unless they are covered by the disability provisions of the Equality Act 2010 or </w:t>
      </w: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have been issued with notice of redundancy whilst on maternity, adoption or shared parental leave. </w:t>
      </w:r>
    </w:p>
    <w:p w14:paraId="480593DD" w14:textId="77777777" w:rsidR="00113CD4" w:rsidRPr="008F5B5D" w:rsidRDefault="00113CD4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0EF1F29D" w14:textId="15DC3CF6" w:rsidR="00786F71" w:rsidRPr="008F5B5D" w:rsidRDefault="00E90D16" w:rsidP="004859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Priority </w:t>
      </w:r>
      <w:r w:rsidR="00FC23FE"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Access Status</w:t>
      </w: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and Duration</w:t>
      </w:r>
      <w:r w:rsidR="00A3058F"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583D1055" w14:textId="77777777" w:rsid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030E7B6" w14:textId="791AAA0D" w:rsid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Employees</w:t>
      </w:r>
      <w:r w:rsidR="00265143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are assigned a priority </w:t>
      </w:r>
      <w:r w:rsidR="00FC23F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access</w:t>
      </w:r>
      <w:r w:rsidR="00265143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FC23F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status </w:t>
      </w:r>
      <w:r w:rsidR="00265143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depending on their individual circumstances</w:t>
      </w:r>
      <w:r w:rsidR="00FC23FE" w:rsidRPr="008F5B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0EFAAF62" w14:textId="77777777" w:rsidR="008F5B5D" w:rsidRP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51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769"/>
        <w:gridCol w:w="1608"/>
      </w:tblGrid>
      <w:tr w:rsidR="009275FB" w:rsidRPr="008F5B5D" w14:paraId="6B1D91B5" w14:textId="77777777" w:rsidTr="008157F0">
        <w:trPr>
          <w:trHeight w:val="680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9E831AD" w14:textId="365F307F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Priority Status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DA4FE7C" w14:textId="6D810829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6306EF5" w14:textId="78A200EA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Duration of </w:t>
            </w:r>
            <w:r w:rsidR="00822042"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Priority </w:t>
            </w: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Access</w:t>
            </w:r>
          </w:p>
        </w:tc>
      </w:tr>
      <w:tr w:rsidR="009275FB" w:rsidRPr="008F5B5D" w14:paraId="67E8EAEC" w14:textId="77777777" w:rsidTr="008157F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3EE99" w14:textId="7CD43A85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6F825" w14:textId="7CA6563E" w:rsidR="002227EC" w:rsidRPr="008F5B5D" w:rsidRDefault="00E90D16" w:rsidP="004859AA">
            <w:pPr>
              <w:spacing w:after="0" w:line="240" w:lineRule="auto"/>
              <w:ind w:left="139" w:right="7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'At risk' of redundancy whilst on maternity leave, adoption leave or shared parental leave (Maternity and Parental Leave etc Regulations 1999, Paternity and Adoption Leave Regulations 2002 and Shared 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Parental Leave Regulations 2014).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F005" w14:textId="71473E2D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period</w:t>
            </w:r>
          </w:p>
        </w:tc>
      </w:tr>
      <w:tr w:rsidR="009275FB" w:rsidRPr="008F5B5D" w14:paraId="69CB20A1" w14:textId="77777777" w:rsidTr="008157F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25B91" w14:textId="74D5FDF8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94A5B" w14:textId="145B5BAB" w:rsidR="002227EC" w:rsidRPr="008F5B5D" w:rsidRDefault="00E90D16" w:rsidP="004859AA">
            <w:pPr>
              <w:spacing w:after="0" w:line="240" w:lineRule="auto"/>
              <w:ind w:left="139" w:right="7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'At risk' of redundancy (including fixed term employees with more than 12 months' LCC continuous service where the reason for ending the contract satisfies the criteria for redundancy). 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EFF2" w14:textId="763472CB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Notice 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period</w:t>
            </w:r>
          </w:p>
        </w:tc>
      </w:tr>
      <w:tr w:rsidR="009275FB" w:rsidRPr="008F5B5D" w14:paraId="4892B875" w14:textId="77777777" w:rsidTr="008157F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F80D8" w14:textId="507D0476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BB4C" w14:textId="73E07116" w:rsidR="002227EC" w:rsidRPr="008F5B5D" w:rsidRDefault="00E90D16" w:rsidP="004859AA">
            <w:pPr>
              <w:spacing w:after="0" w:line="240" w:lineRule="auto"/>
              <w:ind w:left="139" w:right="7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Seeking alternative employment </w:t>
            </w:r>
            <w:proofErr w:type="gramStart"/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a result of</w:t>
            </w:r>
            <w:proofErr w:type="gramEnd"/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disability </w:t>
            </w:r>
            <w:r w:rsidR="009C084D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ill-health which </w:t>
            </w:r>
            <w:r w:rsidR="008D4B7A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means the employee can no longer undertake their substantive role.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BCB9" w14:textId="552945F9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 weeks</w:t>
            </w:r>
          </w:p>
        </w:tc>
      </w:tr>
      <w:tr w:rsidR="009275FB" w:rsidRPr="008F5B5D" w14:paraId="1121F94A" w14:textId="77777777" w:rsidTr="008157F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4E889" w14:textId="7688C910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D4F8" w14:textId="2B663439" w:rsidR="002227EC" w:rsidRPr="008F5B5D" w:rsidRDefault="00E90D16" w:rsidP="004859AA">
            <w:pPr>
              <w:spacing w:after="0" w:line="240" w:lineRule="auto"/>
              <w:ind w:left="139" w:right="7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Seeking alternative employment </w:t>
            </w:r>
            <w:r w:rsidRPr="008F5B5D">
              <w:rPr>
                <w:rFonts w:ascii="Arial" w:eastAsia="Times New Roman" w:hAnsi="Arial" w:cs="Arial"/>
                <w:sz w:val="24"/>
                <w:szCs w:val="24"/>
              </w:rPr>
              <w:t xml:space="preserve">due to other </w:t>
            </w:r>
            <w:r w:rsidR="0029652F" w:rsidRPr="008F5B5D">
              <w:rPr>
                <w:rFonts w:ascii="Arial" w:eastAsia="Times New Roman" w:hAnsi="Arial" w:cs="Arial"/>
                <w:sz w:val="24"/>
                <w:szCs w:val="24"/>
              </w:rPr>
              <w:t>reasons</w:t>
            </w:r>
            <w:r w:rsidRPr="008F5B5D">
              <w:rPr>
                <w:rFonts w:ascii="Arial" w:eastAsia="Times New Roman" w:hAnsi="Arial" w:cs="Arial"/>
                <w:sz w:val="24"/>
                <w:szCs w:val="24"/>
              </w:rPr>
              <w:t xml:space="preserve"> which may prevent the employee from undertaking their substantive role. (This process would be initiated by the employee's manager in discussion with Corporate HR).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8062F" w14:textId="2B6E4497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weeks</w:t>
            </w:r>
          </w:p>
        </w:tc>
      </w:tr>
      <w:tr w:rsidR="009275FB" w:rsidRPr="008F5B5D" w14:paraId="3EAA4210" w14:textId="77777777" w:rsidTr="008157F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2459" w14:textId="3B9A60F6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2DE5" w14:textId="74742E43" w:rsidR="002227EC" w:rsidRPr="008F5B5D" w:rsidRDefault="00E90D16" w:rsidP="004859AA">
            <w:pPr>
              <w:spacing w:after="0" w:line="240" w:lineRule="auto"/>
              <w:ind w:left="139" w:right="7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 of fixed term contract – not redundancy</w:t>
            </w:r>
            <w:r w:rsidR="00697E28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B74A" w14:textId="404A143F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period</w:t>
            </w:r>
          </w:p>
        </w:tc>
      </w:tr>
      <w:tr w:rsidR="009275FB" w:rsidRPr="008F5B5D" w14:paraId="2119EE93" w14:textId="77777777" w:rsidTr="008157F0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59A3E" w14:textId="2C869A34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31C9" w14:textId="281FC5B7" w:rsidR="002227EC" w:rsidRPr="008F5B5D" w:rsidRDefault="00E90D16" w:rsidP="004859AA">
            <w:pPr>
              <w:spacing w:after="0" w:line="240" w:lineRule="auto"/>
              <w:ind w:left="139" w:right="78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Participant in </w:t>
            </w:r>
            <w:r w:rsidR="00697E28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raduate</w:t>
            </w:r>
            <w:r w:rsidR="00697E28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697E28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pprenticeship scheme </w:t>
            </w:r>
            <w:proofErr w:type="gramStart"/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excess of</w:t>
            </w:r>
            <w:proofErr w:type="gramEnd"/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21 months</w:t>
            </w:r>
            <w:r w:rsidR="00697E28"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AD79" w14:textId="77777777" w:rsidR="002227EC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 weeks</w:t>
            </w:r>
          </w:p>
        </w:tc>
      </w:tr>
    </w:tbl>
    <w:p w14:paraId="5DAD365C" w14:textId="77777777" w:rsidR="00A3058F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590B5651" w14:textId="5A6D74E3" w:rsidR="00A3058F" w:rsidRPr="008F5B5D" w:rsidRDefault="00E90D16" w:rsidP="004859A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Eligibility for </w:t>
      </w:r>
      <w:r w:rsidR="008D4B7A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Priority Access</w:t>
      </w: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177DE095" w14:textId="77777777" w:rsid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5EC6CB" w14:textId="531D64C2" w:rsidR="00265143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Eligibility for </w:t>
      </w:r>
      <w:r w:rsidR="008D4B7A" w:rsidRPr="008F5B5D">
        <w:rPr>
          <w:rFonts w:ascii="Arial" w:eastAsia="Times New Roman" w:hAnsi="Arial" w:cs="Arial"/>
          <w:sz w:val="24"/>
          <w:szCs w:val="24"/>
          <w:lang w:eastAsia="en-GB"/>
        </w:rPr>
        <w:t>priority access</w:t>
      </w:r>
      <w:r w:rsidR="00A3058F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will be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A3058F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by the </w:t>
      </w:r>
      <w:r w:rsidR="00AF043E" w:rsidRPr="008F5B5D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A3058F" w:rsidRPr="008F5B5D">
        <w:rPr>
          <w:rFonts w:ascii="Arial" w:eastAsia="Times New Roman" w:hAnsi="Arial" w:cs="Arial"/>
          <w:sz w:val="24"/>
          <w:szCs w:val="24"/>
          <w:lang w:eastAsia="en-GB"/>
        </w:rPr>
        <w:t>ouncil's Corporate HR Team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in accordance with the provisions of this policy</w:t>
      </w:r>
      <w:r w:rsidR="00A3058F" w:rsidRPr="008F5B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9AF3BE6" w14:textId="77777777" w:rsidR="008F5B5D" w:rsidRP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5CC510" w14:textId="3A269FD8" w:rsidR="00265143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The Corporate HR Team may also insist that posts are held vacant or filled on a temporary basis where there are likely to be suitable </w:t>
      </w:r>
      <w:r w:rsidR="002705B9" w:rsidRPr="008F5B5D">
        <w:rPr>
          <w:rFonts w:ascii="Arial" w:eastAsia="Times New Roman" w:hAnsi="Arial" w:cs="Arial"/>
          <w:sz w:val="24"/>
          <w:szCs w:val="24"/>
          <w:lang w:eastAsia="en-GB"/>
        </w:rPr>
        <w:t>employees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available in the imminent future </w:t>
      </w:r>
      <w:proofErr w:type="gramStart"/>
      <w:r w:rsidRPr="008F5B5D">
        <w:rPr>
          <w:rFonts w:ascii="Arial" w:eastAsia="Times New Roman" w:hAnsi="Arial" w:cs="Arial"/>
          <w:sz w:val="24"/>
          <w:szCs w:val="24"/>
          <w:lang w:eastAsia="en-GB"/>
        </w:rPr>
        <w:t>in order to</w:t>
      </w:r>
      <w:proofErr w:type="gramEnd"/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mitigate against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job losses.</w:t>
      </w:r>
    </w:p>
    <w:p w14:paraId="7C08F3A0" w14:textId="7E774A9D" w:rsidR="004D3F5A" w:rsidRPr="008F5B5D" w:rsidRDefault="004D3F5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4176753A" w14:textId="3A573C52" w:rsidR="004D3F5A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Gaining </w:t>
      </w:r>
      <w:r w:rsidR="00400383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Priority Access to </w:t>
      </w:r>
      <w:r w:rsidR="00B0120D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400383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pply</w:t>
      </w: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Vacancies</w:t>
      </w:r>
    </w:p>
    <w:p w14:paraId="1A1E71ED" w14:textId="77777777" w:rsid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BD695C" w14:textId="6ED6C50E" w:rsidR="004D3F5A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In order to </w:t>
      </w:r>
      <w:r w:rsidR="00265143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gain </w:t>
      </w:r>
      <w:r w:rsidR="00400383" w:rsidRPr="008F5B5D">
        <w:rPr>
          <w:rFonts w:ascii="Arial" w:eastAsia="Times New Roman" w:hAnsi="Arial" w:cs="Arial"/>
          <w:sz w:val="24"/>
          <w:szCs w:val="24"/>
          <w:lang w:eastAsia="en-GB"/>
        </w:rPr>
        <w:t>priority access</w:t>
      </w:r>
      <w:r w:rsidR="00265143" w:rsidRPr="008F5B5D">
        <w:rPr>
          <w:rFonts w:ascii="Arial" w:eastAsia="Times New Roman" w:hAnsi="Arial" w:cs="Arial"/>
          <w:sz w:val="24"/>
          <w:szCs w:val="24"/>
          <w:lang w:eastAsia="en-GB"/>
        </w:rPr>
        <w:t>, the employee and their manager will need to complete a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5937B5" w:rsidRPr="008F5B5D">
        <w:rPr>
          <w:rFonts w:ascii="Arial" w:eastAsia="Times New Roman" w:hAnsi="Arial" w:cs="Arial"/>
          <w:color w:val="005EA5"/>
          <w:sz w:val="24"/>
          <w:szCs w:val="24"/>
          <w:u w:val="single"/>
          <w:lang w:eastAsia="en-GB"/>
        </w:rPr>
        <w:t xml:space="preserve">priority </w:t>
      </w:r>
      <w:hyperlink r:id="rId6" w:tooltip="Access to Vacancy Management System form" w:history="1">
        <w:r w:rsidRPr="008F5B5D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en-GB"/>
          </w:rPr>
          <w:t xml:space="preserve">access to </w:t>
        </w:r>
        <w:r w:rsidR="005937B5" w:rsidRPr="008F5B5D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en-GB"/>
          </w:rPr>
          <w:t>vacancies</w:t>
        </w:r>
        <w:r w:rsidRPr="008F5B5D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en-GB"/>
          </w:rPr>
          <w:t xml:space="preserve"> form</w:t>
        </w:r>
      </w:hyperlink>
      <w:r w:rsidR="00265143" w:rsidRPr="008F5B5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5143" w:rsidRPr="008F5B5D">
        <w:rPr>
          <w:rFonts w:ascii="Arial" w:eastAsia="Times New Roman" w:hAnsi="Arial" w:cs="Arial"/>
          <w:sz w:val="24"/>
          <w:szCs w:val="24"/>
          <w:lang w:eastAsia="en-GB"/>
        </w:rPr>
        <w:t>and submit this to Corporate HR for review</w:t>
      </w:r>
      <w:r w:rsidR="008F5B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0529083" w14:textId="77777777" w:rsidR="008F5B5D" w:rsidRP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99904D" w14:textId="3A7ED71E" w:rsidR="004D3F5A" w:rsidRDefault="00E90D16" w:rsidP="004859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Once an employee has been granted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23FE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priority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265143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5937B5" w:rsidRPr="008F5B5D">
        <w:rPr>
          <w:rFonts w:ascii="Arial" w:eastAsia="Times New Roman" w:hAnsi="Arial" w:cs="Arial"/>
          <w:sz w:val="24"/>
          <w:szCs w:val="24"/>
          <w:lang w:eastAsia="en-GB"/>
        </w:rPr>
        <w:t>vacancies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, they will </w:t>
      </w:r>
      <w:r w:rsidRPr="008F5B5D">
        <w:rPr>
          <w:rFonts w:ascii="Arial" w:hAnsi="Arial" w:cs="Arial"/>
          <w:sz w:val="24"/>
          <w:szCs w:val="24"/>
        </w:rPr>
        <w:t>be able to search for suitable vacancies in the normal way</w:t>
      </w:r>
      <w:r w:rsidR="00BE26FE" w:rsidRPr="008F5B5D">
        <w:rPr>
          <w:rFonts w:ascii="Arial" w:hAnsi="Arial" w:cs="Arial"/>
          <w:sz w:val="24"/>
          <w:szCs w:val="24"/>
        </w:rPr>
        <w:t>,</w:t>
      </w:r>
      <w:r w:rsidRPr="008F5B5D">
        <w:rPr>
          <w:rFonts w:ascii="Arial" w:hAnsi="Arial" w:cs="Arial"/>
          <w:sz w:val="24"/>
          <w:szCs w:val="24"/>
        </w:rPr>
        <w:t xml:space="preserve"> and when </w:t>
      </w:r>
      <w:r w:rsidR="00BE26FE" w:rsidRPr="008F5B5D">
        <w:rPr>
          <w:rFonts w:ascii="Arial" w:hAnsi="Arial" w:cs="Arial"/>
          <w:sz w:val="24"/>
          <w:szCs w:val="24"/>
        </w:rPr>
        <w:t>they</w:t>
      </w:r>
      <w:r w:rsidRPr="008F5B5D">
        <w:rPr>
          <w:rFonts w:ascii="Arial" w:hAnsi="Arial" w:cs="Arial"/>
          <w:sz w:val="24"/>
          <w:szCs w:val="24"/>
        </w:rPr>
        <w:t xml:space="preserve"> submit an </w:t>
      </w:r>
      <w:proofErr w:type="gramStart"/>
      <w:r w:rsidR="00BE26FE" w:rsidRPr="008F5B5D">
        <w:rPr>
          <w:rFonts w:ascii="Arial" w:hAnsi="Arial" w:cs="Arial"/>
          <w:sz w:val="24"/>
          <w:szCs w:val="24"/>
        </w:rPr>
        <w:t>application</w:t>
      </w:r>
      <w:proofErr w:type="gramEnd"/>
      <w:r w:rsidRPr="008F5B5D">
        <w:rPr>
          <w:rFonts w:ascii="Arial" w:hAnsi="Arial" w:cs="Arial"/>
          <w:sz w:val="24"/>
          <w:szCs w:val="24"/>
        </w:rPr>
        <w:t xml:space="preserve"> </w:t>
      </w:r>
      <w:r w:rsidR="00BE26FE" w:rsidRPr="008F5B5D">
        <w:rPr>
          <w:rFonts w:ascii="Arial" w:hAnsi="Arial" w:cs="Arial"/>
          <w:sz w:val="24"/>
          <w:szCs w:val="24"/>
        </w:rPr>
        <w:t>they</w:t>
      </w:r>
      <w:r w:rsidRPr="008F5B5D">
        <w:rPr>
          <w:rFonts w:ascii="Arial" w:hAnsi="Arial" w:cs="Arial"/>
          <w:sz w:val="24"/>
          <w:szCs w:val="24"/>
        </w:rPr>
        <w:t xml:space="preserve"> will be doing so as a</w:t>
      </w:r>
      <w:r w:rsidR="008972F5" w:rsidRPr="008F5B5D">
        <w:rPr>
          <w:rFonts w:ascii="Arial" w:hAnsi="Arial" w:cs="Arial"/>
          <w:sz w:val="24"/>
          <w:szCs w:val="24"/>
        </w:rPr>
        <w:t>n</w:t>
      </w:r>
      <w:r w:rsidRPr="008F5B5D">
        <w:rPr>
          <w:rFonts w:ascii="Arial" w:hAnsi="Arial" w:cs="Arial"/>
          <w:sz w:val="24"/>
          <w:szCs w:val="24"/>
        </w:rPr>
        <w:t xml:space="preserve"> </w:t>
      </w:r>
      <w:r w:rsidR="00400383" w:rsidRPr="008F5B5D">
        <w:rPr>
          <w:rFonts w:ascii="Arial" w:hAnsi="Arial" w:cs="Arial"/>
          <w:sz w:val="24"/>
          <w:szCs w:val="24"/>
        </w:rPr>
        <w:t>employee with prior consideration</w:t>
      </w:r>
      <w:r w:rsidR="00BE26FE" w:rsidRPr="008F5B5D">
        <w:rPr>
          <w:rFonts w:ascii="Arial" w:hAnsi="Arial" w:cs="Arial"/>
          <w:sz w:val="24"/>
          <w:szCs w:val="24"/>
        </w:rPr>
        <w:t xml:space="preserve">. </w:t>
      </w:r>
    </w:p>
    <w:p w14:paraId="2F0F7876" w14:textId="77777777" w:rsidR="008F5B5D" w:rsidRP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1CD6F" w14:textId="42510364" w:rsidR="004D3F5A" w:rsidRPr="008F5B5D" w:rsidRDefault="00E90D16" w:rsidP="004859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F5B5D">
        <w:rPr>
          <w:rFonts w:ascii="Arial" w:hAnsi="Arial" w:cs="Arial"/>
        </w:rPr>
        <w:t xml:space="preserve">It is important </w:t>
      </w:r>
      <w:r w:rsidR="00265143" w:rsidRPr="008F5B5D">
        <w:rPr>
          <w:rFonts w:ascii="Arial" w:hAnsi="Arial" w:cs="Arial"/>
        </w:rPr>
        <w:t xml:space="preserve">that </w:t>
      </w:r>
      <w:r w:rsidR="00BE26FE" w:rsidRPr="008F5B5D">
        <w:rPr>
          <w:rFonts w:ascii="Arial" w:hAnsi="Arial" w:cs="Arial"/>
        </w:rPr>
        <w:t>the employee</w:t>
      </w:r>
      <w:r w:rsidRPr="008F5B5D">
        <w:rPr>
          <w:rFonts w:ascii="Arial" w:hAnsi="Arial" w:cs="Arial"/>
        </w:rPr>
        <w:t xml:space="preserve"> clearly demonstrate</w:t>
      </w:r>
      <w:r w:rsidR="00BE26FE" w:rsidRPr="008F5B5D">
        <w:rPr>
          <w:rFonts w:ascii="Arial" w:hAnsi="Arial" w:cs="Arial"/>
        </w:rPr>
        <w:t>s</w:t>
      </w:r>
      <w:r w:rsidRPr="008F5B5D">
        <w:rPr>
          <w:rFonts w:ascii="Arial" w:hAnsi="Arial" w:cs="Arial"/>
        </w:rPr>
        <w:t xml:space="preserve"> how </w:t>
      </w:r>
      <w:r w:rsidR="00BE26FE" w:rsidRPr="008F5B5D">
        <w:rPr>
          <w:rFonts w:ascii="Arial" w:hAnsi="Arial" w:cs="Arial"/>
        </w:rPr>
        <w:t>they</w:t>
      </w:r>
      <w:r w:rsidRPr="008F5B5D">
        <w:rPr>
          <w:rFonts w:ascii="Arial" w:hAnsi="Arial" w:cs="Arial"/>
        </w:rPr>
        <w:t xml:space="preserve"> meet the essential criteria for the role within </w:t>
      </w:r>
      <w:r w:rsidR="00BE26FE" w:rsidRPr="008F5B5D">
        <w:rPr>
          <w:rFonts w:ascii="Arial" w:hAnsi="Arial" w:cs="Arial"/>
        </w:rPr>
        <w:t>their</w:t>
      </w:r>
      <w:r w:rsidRPr="008F5B5D">
        <w:rPr>
          <w:rFonts w:ascii="Arial" w:hAnsi="Arial" w:cs="Arial"/>
        </w:rPr>
        <w:t xml:space="preserve"> application</w:t>
      </w:r>
      <w:r w:rsidR="00B53B13" w:rsidRPr="008F5B5D">
        <w:rPr>
          <w:rFonts w:ascii="Arial" w:hAnsi="Arial" w:cs="Arial"/>
        </w:rPr>
        <w:t xml:space="preserve"> and that they don't delay their application to ensure smooth running of the process</w:t>
      </w:r>
      <w:r w:rsidRPr="008F5B5D">
        <w:rPr>
          <w:rFonts w:ascii="Arial" w:hAnsi="Arial" w:cs="Arial"/>
        </w:rPr>
        <w:t xml:space="preserve">. For guidance on applying for roles and attending interviews, please refer </w:t>
      </w:r>
      <w:r w:rsidRPr="008F5B5D">
        <w:rPr>
          <w:rFonts w:ascii="Arial" w:hAnsi="Arial" w:cs="Arial"/>
        </w:rPr>
        <w:t>to the CVs and interview skills section of the </w:t>
      </w:r>
      <w:hyperlink r:id="rId7" w:history="1">
        <w:r w:rsidRPr="008F5B5D">
          <w:rPr>
            <w:rStyle w:val="Hyperlink"/>
            <w:rFonts w:ascii="Arial" w:hAnsi="Arial" w:cs="Arial"/>
            <w:color w:val="005EA5"/>
          </w:rPr>
          <w:t>career support</w:t>
        </w:r>
      </w:hyperlink>
      <w:r w:rsidRPr="008F5B5D">
        <w:rPr>
          <w:rFonts w:ascii="Arial" w:hAnsi="Arial" w:cs="Arial"/>
          <w:color w:val="333333"/>
        </w:rPr>
        <w:t> </w:t>
      </w:r>
      <w:r w:rsidRPr="008F5B5D">
        <w:rPr>
          <w:rFonts w:ascii="Arial" w:hAnsi="Arial" w:cs="Arial"/>
        </w:rPr>
        <w:t>page.</w:t>
      </w:r>
    </w:p>
    <w:p w14:paraId="59392AEC" w14:textId="77777777" w:rsidR="000A279C" w:rsidRPr="008F5B5D" w:rsidRDefault="000A279C" w:rsidP="004859A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6A55C4" w14:textId="5359111E" w:rsidR="00A3058F" w:rsidRPr="008F5B5D" w:rsidRDefault="00E90D16" w:rsidP="004859A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Consideration </w:t>
      </w:r>
      <w:r w:rsidR="00A1301B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</w:t>
      </w:r>
      <w:r w:rsidR="001068FC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Priority Access </w:t>
      </w:r>
      <w:r w:rsidR="00A1301B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Applications </w:t>
      </w:r>
    </w:p>
    <w:p w14:paraId="5FC00461" w14:textId="77777777" w:rsidR="008F5B5D" w:rsidRDefault="008F5B5D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24B8B5" w14:textId="7F8D032E" w:rsidR="00721B77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8D4B7A" w:rsidRPr="008F5B5D">
        <w:rPr>
          <w:rFonts w:ascii="Arial" w:eastAsia="Times New Roman" w:hAnsi="Arial" w:cs="Arial"/>
          <w:sz w:val="24"/>
          <w:szCs w:val="24"/>
          <w:lang w:val="en" w:eastAsia="en-GB"/>
        </w:rPr>
        <w:t xml:space="preserve">employees with prior consideration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who meet the essential criteria must be interviewed.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This is not a normal interview process; it's an interview to assess the employee's suitability for the role. Information may be gathered from the employee's current service where this will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help to determine that suitability, however this is also different from a normal reference of employment. </w:t>
      </w:r>
    </w:p>
    <w:p w14:paraId="1D41FD72" w14:textId="77777777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9C7023" w14:textId="07A4B21E" w:rsidR="00A3058F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However, where a large number of </w:t>
      </w:r>
      <w:r w:rsidR="008D4B7A" w:rsidRPr="008F5B5D">
        <w:rPr>
          <w:rFonts w:ascii="Arial" w:eastAsia="Times New Roman" w:hAnsi="Arial" w:cs="Arial"/>
          <w:sz w:val="24"/>
          <w:szCs w:val="24"/>
          <w:lang w:val="en" w:eastAsia="en-GB"/>
        </w:rPr>
        <w:t xml:space="preserve">employees with prior consideration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meet the essential criteria</w:t>
      </w:r>
      <w:r w:rsidR="008D4B7A" w:rsidRPr="008F5B5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suitable candidates may be shortlisted on the basis of priority status </w:t>
      </w:r>
      <w:proofErr w:type="gramStart"/>
      <w:r w:rsidRPr="008F5B5D">
        <w:rPr>
          <w:rFonts w:ascii="Arial" w:eastAsia="Times New Roman" w:hAnsi="Arial" w:cs="Arial"/>
          <w:sz w:val="24"/>
          <w:szCs w:val="24"/>
          <w:lang w:eastAsia="en-GB"/>
        </w:rPr>
        <w:t>i.e.</w:t>
      </w:r>
      <w:proofErr w:type="gramEnd"/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priority </w:t>
      </w:r>
      <w:r w:rsidR="00AA47A3" w:rsidRPr="008F5B5D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/1A status candidates who meet the essential criteria will be shortlisted ahead of lower priority candidates.</w:t>
      </w:r>
      <w:r w:rsidR="008D4B7A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451E91C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86C58E" w14:textId="6568CA8F" w:rsidR="00A3058F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Recruiting </w:t>
      </w:r>
      <w:r w:rsidR="00F40E29" w:rsidRPr="008F5B5D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anagers are obliged to consider any transferab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le skills and development needs of the employee, as part of the assessment of their overall suitability</w:t>
      </w:r>
      <w:r w:rsidR="0072362B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gramStart"/>
      <w:r w:rsidR="0072362B" w:rsidRPr="008F5B5D">
        <w:rPr>
          <w:rFonts w:ascii="Arial" w:eastAsia="Times New Roman" w:hAnsi="Arial" w:cs="Arial"/>
          <w:sz w:val="24"/>
          <w:szCs w:val="24"/>
          <w:lang w:eastAsia="en-GB"/>
        </w:rPr>
        <w:t>e.g.</w:t>
      </w:r>
      <w:proofErr w:type="gramEnd"/>
      <w:r w:rsidR="0072362B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if the employee could successfully undertake the role with an appropriate level of training / development, they should usually be offered the post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. The Corporate HR team may </w:t>
      </w:r>
      <w:r w:rsidR="00B53B13" w:rsidRPr="008F5B5D">
        <w:rPr>
          <w:rFonts w:ascii="Arial" w:eastAsia="Times New Roman" w:hAnsi="Arial" w:cs="Arial"/>
          <w:sz w:val="24"/>
          <w:szCs w:val="24"/>
          <w:lang w:eastAsia="en-GB"/>
        </w:rPr>
        <w:t>get in touch with the recruiting manager to discuss this if further verification is required.</w:t>
      </w:r>
    </w:p>
    <w:p w14:paraId="002FC5AA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CCAF62" w14:textId="2E781EDD" w:rsidR="00507EB8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Where an </w:t>
      </w:r>
      <w:r w:rsidR="002705B9" w:rsidRPr="008F5B5D">
        <w:rPr>
          <w:rFonts w:ascii="Arial" w:eastAsia="Times New Roman" w:hAnsi="Arial" w:cs="Arial"/>
          <w:sz w:val="24"/>
          <w:szCs w:val="24"/>
          <w:lang w:val="en" w:eastAsia="en-GB"/>
        </w:rPr>
        <w:t xml:space="preserve">employee with prior consideration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is covered by the disability provisions of the Equality Act 2010, the recruiting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manager must take account of the duty to consider reasonable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adjustments which would enable the employee to meet the essential requirements of the post. Reasonable adjustments may include adjustments to the duties, </w:t>
      </w:r>
      <w:proofErr w:type="gramStart"/>
      <w:r w:rsidRPr="008F5B5D">
        <w:rPr>
          <w:rFonts w:ascii="Arial" w:eastAsia="Times New Roman" w:hAnsi="Arial" w:cs="Arial"/>
          <w:sz w:val="24"/>
          <w:szCs w:val="24"/>
          <w:lang w:eastAsia="en-GB"/>
        </w:rPr>
        <w:t>hours</w:t>
      </w:r>
      <w:proofErr w:type="gramEnd"/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and location of the post and/or off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ering employees a trial period in post of between 6 – 12 weeks in order that a more complete assessment of the post's suitability can be undertaken.</w:t>
      </w:r>
    </w:p>
    <w:p w14:paraId="3C523053" w14:textId="77777777" w:rsidR="007B3E3A" w:rsidRPr="008F5B5D" w:rsidRDefault="007B3E3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FC4301F" w14:textId="107378A3" w:rsidR="00C71C69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Prior</w:t>
      </w:r>
      <w:r w:rsidR="004D502A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Consideration </w:t>
      </w: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Interview</w:t>
      </w:r>
    </w:p>
    <w:p w14:paraId="09A2DDCF" w14:textId="77777777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76FDF0" w14:textId="4823F65C" w:rsidR="00C71C69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A prior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consideration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interview may be undertaken </w:t>
      </w:r>
      <w:proofErr w:type="gramStart"/>
      <w:r w:rsidRPr="008F5B5D">
        <w:rPr>
          <w:rFonts w:ascii="Arial" w:eastAsia="Times New Roman" w:hAnsi="Arial" w:cs="Arial"/>
          <w:sz w:val="24"/>
          <w:szCs w:val="24"/>
          <w:lang w:eastAsia="en-GB"/>
        </w:rPr>
        <w:t>in order to</w:t>
      </w:r>
      <w:proofErr w:type="gramEnd"/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assess the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employee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against the key essential criteria for the post and to identify any training needs.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Recruiting m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anagers are obliged to consider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any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transferable skills and development needs as part of the assessment of their overall suitability.</w:t>
      </w:r>
    </w:p>
    <w:p w14:paraId="26AF0F0D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8B082" w14:textId="24E12138" w:rsidR="00C71C69" w:rsidRDefault="00E90D16" w:rsidP="004859A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The Corporate HR 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Team may request the manager ringfence</w:t>
      </w:r>
      <w:r w:rsidR="002705B9" w:rsidRPr="008F5B5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the vacancy to a group of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employees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and hold prior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consideration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interviews to assess their suitability for the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role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E04AEB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The employee is expected to fully engage and participate in this process </w:t>
      </w:r>
      <w:proofErr w:type="gramStart"/>
      <w:r w:rsidR="00E04AEB" w:rsidRPr="008F5B5D">
        <w:rPr>
          <w:rFonts w:ascii="Arial" w:eastAsia="Times New Roman" w:hAnsi="Arial" w:cs="Arial"/>
          <w:sz w:val="24"/>
          <w:szCs w:val="24"/>
          <w:lang w:eastAsia="en-GB"/>
        </w:rPr>
        <w:t>in order to</w:t>
      </w:r>
      <w:proofErr w:type="gramEnd"/>
      <w:r w:rsidR="00E04AEB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maximise their opportunities of securing alternative employment.</w:t>
      </w:r>
      <w:r w:rsidR="00E04AEB" w:rsidRPr="008F5B5D">
        <w:rPr>
          <w:sz w:val="24"/>
          <w:szCs w:val="24"/>
        </w:rPr>
        <w:t xml:space="preserve"> </w:t>
      </w:r>
    </w:p>
    <w:p w14:paraId="6BC41D5C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C03F42" w14:textId="5DA73F37" w:rsidR="00C71C69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 recruiting manager does not wish to appoint any of the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employees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identified, </w:t>
      </w:r>
      <w:r w:rsidR="00607940" w:rsidRPr="008F5B5D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must provide written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reasons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to the Corporate HR Team. The recruiting manager must not recruit to the post until the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y have provided th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reasons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the rationale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reviewed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by the Corporate HR Team. </w:t>
      </w:r>
      <w:r w:rsidR="0087637C" w:rsidRPr="008F5B5D">
        <w:rPr>
          <w:rFonts w:ascii="Arial" w:eastAsia="Times New Roman" w:hAnsi="Arial" w:cs="Arial"/>
          <w:sz w:val="24"/>
          <w:szCs w:val="24"/>
          <w:lang w:eastAsia="en-GB"/>
        </w:rPr>
        <w:t>The Corporate HR team may get in touch with the recruiting manager to discuss this if further verification is required.</w:t>
      </w:r>
    </w:p>
    <w:p w14:paraId="7431174A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478BFC" w14:textId="5ED3975F" w:rsidR="00C71C69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Employees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who are unsuccessful at interview will continue to have priority access to vacancies during the remainder of their notice period unless they are offered/assigned an alternative role prior to the end of their notice period.</w:t>
      </w:r>
    </w:p>
    <w:p w14:paraId="1C6AAF2C" w14:textId="77777777" w:rsidR="000A279C" w:rsidRPr="008F5B5D" w:rsidRDefault="000A279C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FF57435" w14:textId="44AD0BCE" w:rsidR="00A3058F" w:rsidRPr="008F5B5D" w:rsidRDefault="00E90D16" w:rsidP="004859A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Offer of </w:t>
      </w:r>
      <w:r w:rsidR="00A1301B"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</w:t>
      </w:r>
      <w:r w:rsidRPr="008F5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mployment</w:t>
      </w:r>
    </w:p>
    <w:p w14:paraId="26A9B45C" w14:textId="77777777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752DE0" w14:textId="5778FE7E" w:rsidR="00A3058F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8F5B5D">
        <w:rPr>
          <w:rFonts w:ascii="Arial" w:eastAsia="Times New Roman" w:hAnsi="Arial" w:cs="Arial"/>
          <w:sz w:val="24"/>
          <w:szCs w:val="24"/>
          <w:lang w:eastAsia="en-GB"/>
        </w:rPr>
        <w:t>Where, following interview, it</w:t>
      </w:r>
      <w:proofErr w:type="gramEnd"/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is determined that more than one </w:t>
      </w:r>
      <w:r w:rsidR="004D502A" w:rsidRPr="008F5B5D">
        <w:rPr>
          <w:rFonts w:ascii="Arial" w:eastAsia="Times New Roman" w:hAnsi="Arial" w:cs="Arial"/>
          <w:sz w:val="24"/>
          <w:szCs w:val="24"/>
          <w:lang w:eastAsia="en-GB"/>
        </w:rPr>
        <w:t>employee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meets or exceeds the benchmark for appointment, the post must be offered to the candidate with the highest priority status.</w:t>
      </w:r>
    </w:p>
    <w:p w14:paraId="57C81624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DD3F67" w14:textId="32065246" w:rsidR="00A3058F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When the employee has accepted the role</w:t>
      </w:r>
      <w:r w:rsidR="007B5A66" w:rsidRPr="008F5B5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priority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access to vacancies will be withdrawn</w:t>
      </w:r>
      <w:r w:rsidR="00697E28" w:rsidRPr="008F5B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8F1030" w14:textId="77777777" w:rsidR="004859AA" w:rsidRPr="008F5B5D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C67553" w14:textId="30C7C995" w:rsidR="00697E28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Offers of employment </w:t>
      </w:r>
      <w:r w:rsidR="00FC23FE"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made to employees with prior consideration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 not subject to a probationary period</w:t>
      </w:r>
      <w:r w:rsidR="00FC23FE" w:rsidRPr="008F5B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56B68F" w14:textId="54CC835A" w:rsidR="007B5A66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33C98515" w14:textId="1D38BA7B" w:rsidR="00A3058F" w:rsidRPr="008F5B5D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Compensation </w:t>
      </w:r>
      <w:r w:rsidR="00A1301B"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Arrangements</w:t>
      </w:r>
    </w:p>
    <w:p w14:paraId="158A4DFB" w14:textId="77777777" w:rsidR="004859AA" w:rsidRDefault="004859AA" w:rsidP="004859AA">
      <w:pPr>
        <w:pStyle w:val="CommentText"/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D2176F" w14:textId="75DE5BB7" w:rsidR="0087637C" w:rsidRDefault="00E90D16" w:rsidP="004859AA">
      <w:pPr>
        <w:pStyle w:val="CommentText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Where the employee secures a role at a lower grade,</w:t>
      </w:r>
      <w:r w:rsidRPr="008F5B5D">
        <w:rPr>
          <w:sz w:val="24"/>
          <w:szCs w:val="24"/>
        </w:rPr>
        <w:t xml:space="preserve"> </w:t>
      </w:r>
      <w:r w:rsidRPr="008F5B5D">
        <w:rPr>
          <w:rFonts w:ascii="Arial" w:eastAsia="Times New Roman" w:hAnsi="Arial" w:cs="Arial"/>
          <w:sz w:val="24"/>
          <w:szCs w:val="24"/>
          <w:lang w:eastAsia="en-GB"/>
        </w:rPr>
        <w:t xml:space="preserve">they may be entitled to pay compensation in accordance </w:t>
      </w:r>
      <w:r w:rsidR="001A2A43" w:rsidRPr="008F5B5D">
        <w:rPr>
          <w:rFonts w:ascii="Arial" w:eastAsia="Times New Roman" w:hAnsi="Arial" w:cs="Arial"/>
          <w:sz w:val="24"/>
          <w:szCs w:val="24"/>
          <w:lang w:eastAsia="en-GB"/>
        </w:rPr>
        <w:t>with the </w:t>
      </w:r>
      <w:hyperlink r:id="rId8" w:tooltip="Compensation Payments Policy" w:history="1">
        <w:r w:rsidR="001A2A43" w:rsidRPr="008F5B5D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en-GB"/>
          </w:rPr>
          <w:t>compensation payments policy</w:t>
        </w:r>
      </w:hyperlink>
      <w:r w:rsidR="001A2A43" w:rsidRPr="008F5B5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6E716AE5" w14:textId="77777777" w:rsidR="004859AA" w:rsidRPr="008F5B5D" w:rsidRDefault="004859AA" w:rsidP="004859AA">
      <w:pPr>
        <w:pStyle w:val="CommentText"/>
        <w:spacing w:after="0"/>
        <w:jc w:val="both"/>
        <w:rPr>
          <w:sz w:val="24"/>
          <w:szCs w:val="24"/>
        </w:rPr>
      </w:pPr>
    </w:p>
    <w:p w14:paraId="774DFFBD" w14:textId="46EE6165" w:rsidR="007B5A66" w:rsidRDefault="00E90D16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sz w:val="24"/>
          <w:szCs w:val="24"/>
          <w:lang w:eastAsia="en-GB"/>
        </w:rPr>
        <w:t>similarly, where the assignment necessitates a change in workplace, the employee may be entitled to claim an excess travel payment in accordance with the </w:t>
      </w:r>
      <w:hyperlink r:id="rId9" w:tooltip="Compensation Payments Policy" w:history="1">
        <w:r w:rsidRPr="008F5B5D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en-GB"/>
          </w:rPr>
          <w:t>compensation payments policy</w:t>
        </w:r>
      </w:hyperlink>
      <w:r w:rsidRPr="008F5B5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421B47EB" w14:textId="2BA2CF40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FF58BAA" w14:textId="29FBC230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A558594" w14:textId="7DF245F2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272442F" w14:textId="04AE8EE0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7ABEC03" w14:textId="5989F140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BF90D01" w14:textId="3C74904B" w:rsidR="004859AA" w:rsidRDefault="004859AA" w:rsidP="00485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092BA9D" w14:textId="19F97E0D" w:rsidR="000D5C24" w:rsidRDefault="000D5C24" w:rsidP="00485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3658B85" w14:textId="77777777" w:rsidR="00E90D16" w:rsidRPr="008F5B5D" w:rsidRDefault="00E90D16" w:rsidP="00485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BB9B2BA" w14:textId="01B79048" w:rsidR="006779DF" w:rsidRPr="008F5B5D" w:rsidRDefault="00E90D16" w:rsidP="004859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Policy </w:t>
      </w:r>
      <w:r w:rsidR="00A1301B" w:rsidRPr="008F5B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Version Control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70"/>
        <w:gridCol w:w="8277"/>
      </w:tblGrid>
      <w:tr w:rsidR="009275FB" w:rsidRPr="008F5B5D" w14:paraId="380590EE" w14:textId="77777777" w:rsidTr="001A2A43">
        <w:trPr>
          <w:trHeight w:val="340"/>
        </w:trPr>
        <w:tc>
          <w:tcPr>
            <w:tcW w:w="993" w:type="dxa"/>
            <w:tcBorders>
              <w:top w:val="single" w:sz="6" w:space="0" w:color="DEE2E6"/>
            </w:tcBorders>
            <w:shd w:val="clear" w:color="auto" w:fill="BFBFBF" w:themeFill="background1" w:themeFillShade="BF"/>
            <w:vAlign w:val="center"/>
            <w:hideMark/>
          </w:tcPr>
          <w:p w14:paraId="3E0A4A62" w14:textId="77777777" w:rsidR="006779DF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Version</w:t>
            </w:r>
          </w:p>
        </w:tc>
        <w:tc>
          <w:tcPr>
            <w:tcW w:w="570" w:type="dxa"/>
            <w:tcBorders>
              <w:top w:val="single" w:sz="6" w:space="0" w:color="DEE2E6"/>
            </w:tcBorders>
            <w:shd w:val="clear" w:color="auto" w:fill="BFBFBF" w:themeFill="background1" w:themeFillShade="BF"/>
            <w:vAlign w:val="center"/>
            <w:hideMark/>
          </w:tcPr>
          <w:p w14:paraId="2BD47003" w14:textId="77777777" w:rsidR="006779DF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277" w:type="dxa"/>
            <w:tcBorders>
              <w:top w:val="single" w:sz="6" w:space="0" w:color="DEE2E6"/>
            </w:tcBorders>
            <w:shd w:val="clear" w:color="auto" w:fill="BFBFBF" w:themeFill="background1" w:themeFillShade="BF"/>
            <w:vAlign w:val="center"/>
            <w:hideMark/>
          </w:tcPr>
          <w:p w14:paraId="0FD9F7D6" w14:textId="1366725B" w:rsidR="006779DF" w:rsidRPr="008F5B5D" w:rsidRDefault="00E90D16" w:rsidP="004859AA">
            <w:pPr>
              <w:tabs>
                <w:tab w:val="center" w:pos="4786"/>
                <w:tab w:val="left" w:pos="82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Change</w:t>
            </w:r>
          </w:p>
        </w:tc>
      </w:tr>
      <w:tr w:rsidR="009275FB" w:rsidRPr="008F5B5D" w14:paraId="76258CDF" w14:textId="77777777" w:rsidTr="001A2A43">
        <w:tc>
          <w:tcPr>
            <w:tcW w:w="993" w:type="dxa"/>
            <w:tcBorders>
              <w:top w:val="single" w:sz="6" w:space="0" w:color="DEE2E6"/>
            </w:tcBorders>
            <w:vAlign w:val="center"/>
            <w:hideMark/>
          </w:tcPr>
          <w:p w14:paraId="4895B92D" w14:textId="6761B959" w:rsidR="006779DF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1</w:t>
            </w:r>
            <w:r w:rsidR="00C62134" w:rsidRPr="008F5B5D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.0</w:t>
            </w:r>
          </w:p>
        </w:tc>
        <w:tc>
          <w:tcPr>
            <w:tcW w:w="570" w:type="dxa"/>
            <w:tcBorders>
              <w:top w:val="single" w:sz="6" w:space="0" w:color="DEE2E6"/>
            </w:tcBorders>
            <w:vAlign w:val="center"/>
            <w:hideMark/>
          </w:tcPr>
          <w:p w14:paraId="32EDCE76" w14:textId="085FDF72" w:rsidR="006779DF" w:rsidRPr="008F5B5D" w:rsidRDefault="00E90D16" w:rsidP="00485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8277" w:type="dxa"/>
            <w:tcBorders>
              <w:top w:val="single" w:sz="6" w:space="0" w:color="DEE2E6"/>
            </w:tcBorders>
            <w:hideMark/>
          </w:tcPr>
          <w:p w14:paraId="5010D56E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policy has been renamed "priority access to vacancies" because the council no longer operates a vacancy management system.</w:t>
            </w:r>
          </w:p>
          <w:p w14:paraId="30D8B514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 procedural elements have been updated to reflect current ways of working. </w:t>
            </w:r>
          </w:p>
          <w:p w14:paraId="04A78B1F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Duplication of wording within the Scope and Compensati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Payments sections has been removed.</w:t>
            </w:r>
          </w:p>
          <w:p w14:paraId="2A90E959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wording around priority access for employees on a fixed term contract that is due to end has been clarified.</w:t>
            </w:r>
          </w:p>
          <w:p w14:paraId="1454C0F2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priority status of employees seeking alternative employment on grounds of ill-health has been amende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from 2 to 1, as the likelihood is that anyone who can no longer undertake their role due to their health would meet the definition of disabled under the Equality Act 2010 provisions.</w:t>
            </w:r>
          </w:p>
          <w:p w14:paraId="127AAD94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additional priority access category has been created for employees s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eeking alternative employment due to other workplace issues which may prevent them from undertaking their substantive role, </w:t>
            </w:r>
            <w:proofErr w:type="gramStart"/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order to</w:t>
            </w:r>
            <w:proofErr w:type="gramEnd"/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support employees in circumstances that are not covered by the existing categories. </w:t>
            </w:r>
          </w:p>
          <w:p w14:paraId="0761B9F2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"Redeployment List – suffered d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etriment in grade and/or is eligible for excess travel" priority access category has been removed as this no longer applies.</w:t>
            </w:r>
          </w:p>
          <w:p w14:paraId="4B272EB6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"Former employee seeking to return following Career Break" priority access category has been removed as this no longer applies.</w:t>
            </w:r>
          </w:p>
          <w:p w14:paraId="3937E5FE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reference to "minimum" has been removed from the duration of access to vacancies to ensure access normally operates within a defined timeframe.</w:t>
            </w:r>
          </w:p>
          <w:p w14:paraId="307F0E00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"Ringfenced / Prior Consideration" section has been removed as the exceptional circumstances in which t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hese arrangements would be used are already covered in the priority status table.</w:t>
            </w:r>
          </w:p>
          <w:p w14:paraId="1548EFD8" w14:textId="77777777" w:rsidR="001A2A43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"Corporate redeployment intervention" information has been removed as this service is no longer available.</w:t>
            </w:r>
          </w:p>
          <w:p w14:paraId="4FC93C92" w14:textId="7B584CC7" w:rsidR="00FC23FE" w:rsidRPr="008F5B5D" w:rsidRDefault="00E90D16" w:rsidP="004859AA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Wording has been added to clarify that offers of </w:t>
            </w:r>
            <w:r w:rsidRPr="008F5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made to employees with prior consideration are not subject to a probationary period.</w:t>
            </w:r>
          </w:p>
        </w:tc>
      </w:tr>
    </w:tbl>
    <w:p w14:paraId="2D4DC635" w14:textId="77777777" w:rsidR="006779DF" w:rsidRPr="008F5B5D" w:rsidRDefault="006779DF" w:rsidP="004859A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79DF" w:rsidRPr="008F5B5D" w:rsidSect="008157F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0B2"/>
    <w:multiLevelType w:val="multilevel"/>
    <w:tmpl w:val="E6A2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4EB1"/>
    <w:multiLevelType w:val="hybridMultilevel"/>
    <w:tmpl w:val="3AF66CE4"/>
    <w:lvl w:ilvl="0" w:tplc="82DA7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E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CE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3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F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6D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2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4E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C8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74FE"/>
    <w:multiLevelType w:val="multilevel"/>
    <w:tmpl w:val="0C94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F51DC"/>
    <w:multiLevelType w:val="multilevel"/>
    <w:tmpl w:val="3BE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56E0B"/>
    <w:multiLevelType w:val="hybridMultilevel"/>
    <w:tmpl w:val="CEECC0C2"/>
    <w:lvl w:ilvl="0" w:tplc="20B2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0D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20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24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A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6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B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22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0A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40E"/>
    <w:multiLevelType w:val="multilevel"/>
    <w:tmpl w:val="A39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96315"/>
    <w:multiLevelType w:val="multilevel"/>
    <w:tmpl w:val="E6A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B4598"/>
    <w:multiLevelType w:val="multilevel"/>
    <w:tmpl w:val="2EB6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571245">
    <w:abstractNumId w:val="3"/>
  </w:num>
  <w:num w:numId="2" w16cid:durableId="770123051">
    <w:abstractNumId w:val="7"/>
  </w:num>
  <w:num w:numId="3" w16cid:durableId="1404336208">
    <w:abstractNumId w:val="2"/>
  </w:num>
  <w:num w:numId="4" w16cid:durableId="1308365844">
    <w:abstractNumId w:val="5"/>
  </w:num>
  <w:num w:numId="5" w16cid:durableId="337584665">
    <w:abstractNumId w:val="4"/>
  </w:num>
  <w:num w:numId="6" w16cid:durableId="1438064066">
    <w:abstractNumId w:val="6"/>
  </w:num>
  <w:num w:numId="7" w16cid:durableId="1061514856">
    <w:abstractNumId w:val="0"/>
  </w:num>
  <w:num w:numId="8" w16cid:durableId="175593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24"/>
    <w:rsid w:val="000131D9"/>
    <w:rsid w:val="00017A7E"/>
    <w:rsid w:val="00084951"/>
    <w:rsid w:val="000941A6"/>
    <w:rsid w:val="000A279C"/>
    <w:rsid w:val="000A4AB0"/>
    <w:rsid w:val="000C7E9E"/>
    <w:rsid w:val="000D5C24"/>
    <w:rsid w:val="0010580A"/>
    <w:rsid w:val="001068FC"/>
    <w:rsid w:val="00113CD4"/>
    <w:rsid w:val="00117BEF"/>
    <w:rsid w:val="00126E1D"/>
    <w:rsid w:val="001603A4"/>
    <w:rsid w:val="0016205C"/>
    <w:rsid w:val="00174711"/>
    <w:rsid w:val="001A2A43"/>
    <w:rsid w:val="001D02BA"/>
    <w:rsid w:val="001D031C"/>
    <w:rsid w:val="001D350C"/>
    <w:rsid w:val="002227EC"/>
    <w:rsid w:val="00241FF8"/>
    <w:rsid w:val="00265143"/>
    <w:rsid w:val="002705B9"/>
    <w:rsid w:val="0028477D"/>
    <w:rsid w:val="00287230"/>
    <w:rsid w:val="0029652F"/>
    <w:rsid w:val="002A3704"/>
    <w:rsid w:val="002C0EDE"/>
    <w:rsid w:val="002C4CBC"/>
    <w:rsid w:val="00330DF2"/>
    <w:rsid w:val="0036128C"/>
    <w:rsid w:val="003816AF"/>
    <w:rsid w:val="00386104"/>
    <w:rsid w:val="003F0B3F"/>
    <w:rsid w:val="00400383"/>
    <w:rsid w:val="00410E87"/>
    <w:rsid w:val="00416DB0"/>
    <w:rsid w:val="0042018A"/>
    <w:rsid w:val="004437FA"/>
    <w:rsid w:val="00443E3D"/>
    <w:rsid w:val="00456528"/>
    <w:rsid w:val="00471E33"/>
    <w:rsid w:val="004755AC"/>
    <w:rsid w:val="004859AA"/>
    <w:rsid w:val="004D3F5A"/>
    <w:rsid w:val="004D502A"/>
    <w:rsid w:val="00503E7D"/>
    <w:rsid w:val="00507EB8"/>
    <w:rsid w:val="00531AA3"/>
    <w:rsid w:val="00574DD2"/>
    <w:rsid w:val="005937B5"/>
    <w:rsid w:val="005C2559"/>
    <w:rsid w:val="00607940"/>
    <w:rsid w:val="006212DE"/>
    <w:rsid w:val="0063227E"/>
    <w:rsid w:val="006779DF"/>
    <w:rsid w:val="00685B44"/>
    <w:rsid w:val="00697E28"/>
    <w:rsid w:val="006B19DA"/>
    <w:rsid w:val="006B37E1"/>
    <w:rsid w:val="006C1DB3"/>
    <w:rsid w:val="006C6571"/>
    <w:rsid w:val="006E4B27"/>
    <w:rsid w:val="007021DF"/>
    <w:rsid w:val="0071302A"/>
    <w:rsid w:val="00721B77"/>
    <w:rsid w:val="0072362B"/>
    <w:rsid w:val="00772A49"/>
    <w:rsid w:val="00786F71"/>
    <w:rsid w:val="007A2B13"/>
    <w:rsid w:val="007B3E3A"/>
    <w:rsid w:val="007B5A66"/>
    <w:rsid w:val="007D6810"/>
    <w:rsid w:val="007E2FD4"/>
    <w:rsid w:val="007F4E4A"/>
    <w:rsid w:val="0080563F"/>
    <w:rsid w:val="008157F0"/>
    <w:rsid w:val="008173D0"/>
    <w:rsid w:val="008203B8"/>
    <w:rsid w:val="00822042"/>
    <w:rsid w:val="00844E8F"/>
    <w:rsid w:val="0087637C"/>
    <w:rsid w:val="008972F5"/>
    <w:rsid w:val="00897A95"/>
    <w:rsid w:val="008D4B7A"/>
    <w:rsid w:val="008F5B5D"/>
    <w:rsid w:val="008F7452"/>
    <w:rsid w:val="00920886"/>
    <w:rsid w:val="00926C48"/>
    <w:rsid w:val="009275FB"/>
    <w:rsid w:val="009327D0"/>
    <w:rsid w:val="00960C86"/>
    <w:rsid w:val="00966531"/>
    <w:rsid w:val="00966CD3"/>
    <w:rsid w:val="009927F2"/>
    <w:rsid w:val="009B5BF0"/>
    <w:rsid w:val="009C084D"/>
    <w:rsid w:val="009C3CBD"/>
    <w:rsid w:val="009D3495"/>
    <w:rsid w:val="009D37C7"/>
    <w:rsid w:val="00A04111"/>
    <w:rsid w:val="00A10651"/>
    <w:rsid w:val="00A1301B"/>
    <w:rsid w:val="00A13D27"/>
    <w:rsid w:val="00A1732A"/>
    <w:rsid w:val="00A27425"/>
    <w:rsid w:val="00A3058F"/>
    <w:rsid w:val="00A46D2F"/>
    <w:rsid w:val="00A77F73"/>
    <w:rsid w:val="00AA47A3"/>
    <w:rsid w:val="00AB3CA6"/>
    <w:rsid w:val="00AC2698"/>
    <w:rsid w:val="00AC54BB"/>
    <w:rsid w:val="00AF043E"/>
    <w:rsid w:val="00B0120D"/>
    <w:rsid w:val="00B42056"/>
    <w:rsid w:val="00B53B13"/>
    <w:rsid w:val="00B6763C"/>
    <w:rsid w:val="00B7772C"/>
    <w:rsid w:val="00B77780"/>
    <w:rsid w:val="00B81104"/>
    <w:rsid w:val="00BD3C11"/>
    <w:rsid w:val="00BE26FE"/>
    <w:rsid w:val="00C028B6"/>
    <w:rsid w:val="00C14DAF"/>
    <w:rsid w:val="00C406A4"/>
    <w:rsid w:val="00C502DE"/>
    <w:rsid w:val="00C62134"/>
    <w:rsid w:val="00C71C69"/>
    <w:rsid w:val="00CD15C5"/>
    <w:rsid w:val="00CF184F"/>
    <w:rsid w:val="00D420DA"/>
    <w:rsid w:val="00D45867"/>
    <w:rsid w:val="00D67E97"/>
    <w:rsid w:val="00D76226"/>
    <w:rsid w:val="00D7690C"/>
    <w:rsid w:val="00D847BC"/>
    <w:rsid w:val="00DC754F"/>
    <w:rsid w:val="00E04AEB"/>
    <w:rsid w:val="00E21B60"/>
    <w:rsid w:val="00E6358C"/>
    <w:rsid w:val="00E8633A"/>
    <w:rsid w:val="00E90D16"/>
    <w:rsid w:val="00E9456E"/>
    <w:rsid w:val="00EB3B62"/>
    <w:rsid w:val="00EB3C36"/>
    <w:rsid w:val="00EB7BE3"/>
    <w:rsid w:val="00EC5CD2"/>
    <w:rsid w:val="00EE329B"/>
    <w:rsid w:val="00F021A4"/>
    <w:rsid w:val="00F24E0A"/>
    <w:rsid w:val="00F40E29"/>
    <w:rsid w:val="00F67650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0980"/>
  <w15:chartTrackingRefBased/>
  <w15:docId w15:val="{6AA25C8E-DABD-427B-B741-96CE786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3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30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5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05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3058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0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305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0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1B"/>
  </w:style>
  <w:style w:type="paragraph" w:styleId="Footer">
    <w:name w:val="footer"/>
    <w:basedOn w:val="Normal"/>
    <w:link w:val="FooterChar"/>
    <w:uiPriority w:val="99"/>
    <w:unhideWhenUsed/>
    <w:rsid w:val="00A13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1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73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2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d.lancscc.net/how-do-i/hr-pay-employment/hr-policies-and-procedures/compensation-payments-poli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ncashire.gov.uk/employees/support-for-redeployees/career-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ranet.ad.lancscc.net/media/1197/access-to-vacancy-management-request-v13-feb-17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ranet.ad.lancscc.net/how-do-i/hr-pay-employment/hr-policies-and-procedures/compensation-payments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16AD-7DF8-48FE-946D-73B01544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Claire (HR)</dc:creator>
  <cp:lastModifiedBy>Race, Hannah</cp:lastModifiedBy>
  <cp:revision>13</cp:revision>
  <dcterms:created xsi:type="dcterms:W3CDTF">2022-12-07T10:31:00Z</dcterms:created>
  <dcterms:modified xsi:type="dcterms:W3CDTF">2023-02-23T13:00:00Z</dcterms:modified>
</cp:coreProperties>
</file>